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НАУРУЗОВСКИЙ СЕЛЬСОВЕТ</w:t>
      </w:r>
    </w:p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ПОНОМАРЕВСКОГО РАЙОНА</w:t>
      </w:r>
    </w:p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>
      <w:pPr>
        <w:pStyle w:val="Normal"/>
        <w:widowControl w:val="false"/>
        <w:ind w:right="113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ind w:right="11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>
      <w:pPr>
        <w:pStyle w:val="Normal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23.06.2020                                                                                      №132</w:t>
      </w:r>
    </w:p>
    <w:p>
      <w:pPr>
        <w:pStyle w:val="Normal"/>
        <w:ind w:right="113" w:hanging="0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предоставления иных межбюджетных трансфертов из бюджета муниципального образования  Наурузовский  сельсовет  бюджету муниципального образования Пономаревский район»</w:t>
      </w:r>
    </w:p>
    <w:p>
      <w:pPr>
        <w:pStyle w:val="Normal"/>
        <w:shd w:val="clear" w:color="auto" w:fill="FFFFFF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8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142.5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Наурузовский сельсовет, Совет депутатов муниципального образования  Наурузовский сельсовет Пономаревского района Оренбургской области  </w:t>
      </w:r>
      <w:r>
        <w:rPr>
          <w:b/>
          <w:bCs/>
          <w:sz w:val="28"/>
          <w:szCs w:val="28"/>
        </w:rPr>
        <w:t>РЕШИЛ: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предоставления иных межбюджетных трансфертов из бюджета муниципального образования Наурузовский сельсовет бюджету муниципального образования Пономаревский район согласно приложению.</w:t>
      </w:r>
    </w:p>
    <w:p>
      <w:pPr>
        <w:pStyle w:val="Normal"/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2. Ввести настоящее решение в действие с  01.08. 2020 года.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обязательному  размещению на официальном сайте муниципального образования Наурузовский сельсовет.</w:t>
      </w:r>
    </w:p>
    <w:p>
      <w:pPr>
        <w:pStyle w:val="NoSpacing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Совета возложить на председателя Совета депутатов муниципального образования Наурузовский сельсовет Сулейманова Р.Х.</w:t>
      </w:r>
    </w:p>
    <w:p>
      <w:pPr>
        <w:pStyle w:val="Normal"/>
        <w:shd w:val="clear" w:color="auto" w:fill="FFFFFF"/>
        <w:spacing w:beforeAutospacing="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Autospacing="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Autospacing="1" w:after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  <w:tab/>
        <w:tab/>
        <w:tab/>
        <w:tab/>
        <w:tab/>
        <w:t>Р.Х.Сулейманов</w:t>
      </w:r>
    </w:p>
    <w:p>
      <w:pPr>
        <w:pStyle w:val="Normal"/>
        <w:shd w:val="clear" w:color="auto" w:fill="FFFFFF"/>
        <w:spacing w:before="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Приложение к решению</w:t>
      </w:r>
    </w:p>
    <w:p>
      <w:pPr>
        <w:pStyle w:val="Normal"/>
        <w:shd w:val="clear" w:color="auto" w:fill="FFFFFF"/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ИНЫХ МЕЖБЮДЖЕТНЫХ ТРАНСФЕРТОВ ИЗ БЮДЖЕТА МУНИЦИПАЛЬНОГО ОБРАЗОВАНИЯ  НАУРУЗОВСКИЙ             СЕЛЬСОВЕТ БЮДЖЕТУ МУНИЦИПАЛЬНОГО ОБРАЗОВАНИЯ ПОНОМАРЕВСКИЙ РАЙОН</w:t>
      </w:r>
      <w:r>
        <w:rPr>
          <w:sz w:val="28"/>
          <w:szCs w:val="28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before="192" w:after="192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предоставления иных межбюджетных трансфертов из бюджета муниципального образования Наурузовский сельсовет бюджету муниципального образования Пономаревский район (далее – Порядок) разработан в соответствии со статьей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 и устанавливает случаи, условия и порядок предоставления иных межбюджетных трансфертов бюджету муниципального образования Пономаревский район (далее - муниципальный район), из бюджета муниципального образования  Наурузовский сельский совет (далее – сельское поселение).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92" w:after="192"/>
        <w:jc w:val="center"/>
        <w:rPr>
          <w:sz w:val="28"/>
          <w:szCs w:val="28"/>
        </w:rPr>
      </w:pPr>
      <w:r>
        <w:rPr>
          <w:sz w:val="28"/>
          <w:szCs w:val="28"/>
        </w:rPr>
        <w:t>Случаи предоставления иных межбюджетных трансфертов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2.1. Иные межбюджетные трансферты из бюджета сельского поселения в бюджет муниципального района предоставляется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заключенными соглашениями. </w:t>
      </w:r>
    </w:p>
    <w:p>
      <w:pPr>
        <w:pStyle w:val="Normal"/>
        <w:numPr>
          <w:ilvl w:val="0"/>
          <w:numId w:val="3"/>
        </w:numPr>
        <w:shd w:val="clear" w:color="auto" w:fill="FFFFFF"/>
        <w:spacing w:before="192" w:after="192"/>
        <w:jc w:val="center"/>
        <w:rPr>
          <w:sz w:val="28"/>
          <w:szCs w:val="28"/>
        </w:rPr>
      </w:pPr>
      <w:r>
        <w:rPr>
          <w:sz w:val="28"/>
          <w:szCs w:val="28"/>
        </w:rPr>
        <w:t>Условия предоставления иных межбюджетных трансфертов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 Иные межбюджетные трансферты из бюджета сельского поселения в бюджет муниципального района в случаях, предусмотренных пунктом 2.1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Федерации.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3.2 Предоставление иных межбюджетных трансфертов из бюджета сельского поселения в бюджет муниципального района осуществляется за счет собственных доходов и источников финансирования дефицита бюджета сельского поселения.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 Объем средств иных межбюджетных трансфертов не может превышать объем средств на эти цели, утвержденных решением Совета муниципального образования сельского поселения о бюджете сельского поселения.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предоставления иных межбюджетных трансфертов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4.1 Основанием для предоставления иных межбюджетных трансфертов бюджету муниципального района в случае, предусмотренным пунктом 2.1 настоящего Порядка, является соглашение, заключаемое между муниципальным образованием Пономаревский район и муниципальным образованием сельского поселения в пределах сумм, предусмотренных в бюджете поселения на текущий финансовый год.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4.2 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а) целевое назначение иных межбюджетных трансфертов;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б) условия предоставления и расходования иных межбюджетных трансфертов;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г) сроки предоставления иных межбюджетных трансфертов;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д) порядок перечисления иных межбюджетных трансфертов;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е) 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ж) сроки и порядок предоставления отчетности об использовании иных межбюджетных трансфертов;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з) порядок использования остатка иных межбюджетных трансфертов, не использованных в текущем финансовом году.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4.3 Подготовка Соглашения о предоставлении иных межбюджетных трансфертов бюджету муниципального района в случаях, предусмотренных пунктом 2 настоящего Порядка, осуществляется муниципальным образованием сельского поселения.</w:t>
      </w:r>
    </w:p>
    <w:p>
      <w:pPr>
        <w:pStyle w:val="Normal"/>
        <w:numPr>
          <w:ilvl w:val="0"/>
          <w:numId w:val="4"/>
        </w:numPr>
        <w:shd w:val="clear" w:color="auto" w:fill="FFFFFF"/>
        <w:spacing w:before="192" w:after="192"/>
        <w:jc w:val="center"/>
        <w:rPr>
          <w:sz w:val="28"/>
          <w:szCs w:val="28"/>
        </w:rPr>
      </w:pPr>
      <w:r>
        <w:rPr>
          <w:sz w:val="28"/>
          <w:szCs w:val="28"/>
        </w:rPr>
        <w:t>Контроль за использованием иных межбюджетных трансфертов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5.1 Контроль за использованием иных межбюджетных трансфертов, предоставленных бюджету муниципального района, осуществляется путем предоставления в сельское поселение отчетов об использовании финансовых средств. Периодичность и форма предоставления отчетов определяются Соглашением.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5.2 Расходование средств, переданных в виде иных межбюджетных трансфертов, на цели, не предусмотренные Соглашением, не допускается.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5.3 В случае нецелевого использования финансовых средств они подлежат возврату в бюджет сельского поселения в сроки, установленные Соглашением.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5.4 Муниципальный район за нецелевое использование иных межбюджетных трансфертов несет ответственность в соответствии с законодательством Российской Федерации.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>
      <w:pPr>
        <w:pStyle w:val="Normal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</w:p>
    <w:p>
      <w:pPr>
        <w:pStyle w:val="Normal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району</w:t>
      </w:r>
    </w:p>
    <w:p>
      <w:pPr>
        <w:pStyle w:val="Normal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  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Отчет о расходовании иных межбюджетных трансфертов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бюджету муниципального района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                            20       года 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8533" w:type="dxa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fill="FFFFFF" w:val="clear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2844"/>
        <w:gridCol w:w="2844"/>
        <w:gridCol w:w="2845"/>
      </w:tblGrid>
      <w:tr>
        <w:trPr/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из бюджета поселения с начала года</w:t>
            </w:r>
          </w:p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Израсходовано муниципальным районом с начала года</w:t>
            </w:r>
          </w:p>
        </w:tc>
      </w:tr>
      <w:tr>
        <w:trPr/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tbl>
      <w:tblPr>
        <w:tblW w:w="8160" w:type="dxa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fill="FFFFFF" w:val="clear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2136"/>
        <w:gridCol w:w="2136"/>
        <w:gridCol w:w="864"/>
        <w:gridCol w:w="3023"/>
      </w:tblGrid>
      <w:tr>
        <w:trPr/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</w:t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Главный бухгалтер</w:t>
      </w:r>
    </w:p>
    <w:tbl>
      <w:tblPr>
        <w:tblW w:w="8160" w:type="dxa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fill="FFFFFF" w:val="clear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2136"/>
        <w:gridCol w:w="2136"/>
        <w:gridCol w:w="864"/>
        <w:gridCol w:w="3023"/>
      </w:tblGrid>
      <w:tr>
        <w:trPr/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</w:t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«         »                             20            год.</w:t>
      </w:r>
    </w:p>
    <w:p>
      <w:pPr>
        <w:pStyle w:val="ConsPlusNormal"/>
        <w:jc w:val="center"/>
        <w:rPr/>
      </w:pPr>
      <w:r>
        <w:rPr/>
      </w:r>
    </w:p>
    <w:sectPr>
      <w:type w:val="nextPage"/>
      <w:pgSz w:w="11906" w:h="16838"/>
      <w:pgMar w:left="1701" w:right="566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4573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5f2f98"/>
    <w:rPr>
      <w:rFonts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qFormat/>
    <w:rsid w:val="00e77fe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 w:customStyle="1">
    <w:name w:val="ConsPlusNormal"/>
    <w:qFormat/>
    <w:rsid w:val="005f2f98"/>
    <w:pPr>
      <w:widowControl w:val="false"/>
      <w:bidi w:val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5f2f98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e77fe7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71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27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C08B-6C96-40AE-9152-CDB2796E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LibreOffice/6.1.5.2$Linux_X86_64 LibreOffice_project/10$Build-2</Application>
  <Pages>4</Pages>
  <Words>947</Words>
  <Characters>5398</Characters>
  <CharactersWithSpaces>6333</CharactersWithSpaces>
  <Paragraphs>12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2020-07-17T11:58:00Z</dcterms:created>
  <dc:creator>User</dc:creator>
  <dc:description/>
  <dc:language>en-US</dc:language>
  <cp:lastModifiedBy>user</cp:lastModifiedBy>
  <cp:lastPrinted>2020-07-06T05:56:00Z</cp:lastPrinted>
  <dcterms:modified xsi:type="dcterms:W3CDTF">2020-07-17T12:03:00Z</dcterms:modified>
  <cp:revision>3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